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A059F4" w:rsidRPr="00D33DD2" w:rsidRDefault="00A059F4" w:rsidP="00D33DD2">
      <w:pPr>
        <w:pStyle w:val="Titre4"/>
        <w:rPr>
          <w:sz w:val="32"/>
          <w:szCs w:val="32"/>
          <w:lang w:val="fr-FR"/>
        </w:rPr>
      </w:pPr>
      <w:r>
        <w:rPr>
          <w:sz w:val="72"/>
          <w:szCs w:val="72"/>
        </w:rPr>
        <w:tab/>
      </w:r>
      <w:bookmarkStart w:id="0" w:name="_GoBack"/>
      <w:r w:rsidR="008E4D1B" w:rsidRPr="00D33DD2">
        <w:rPr>
          <w:sz w:val="32"/>
          <w:szCs w:val="32"/>
          <w:lang w:val="fr-FR"/>
        </w:rPr>
        <w:t>Thème 1 : La</w:t>
      </w:r>
      <w:r w:rsidRPr="00D33DD2">
        <w:rPr>
          <w:sz w:val="32"/>
          <w:szCs w:val="32"/>
          <w:lang w:val="fr-FR"/>
        </w:rPr>
        <w:t xml:space="preserve"> Terre, la vie et l’évolution du vivant</w:t>
      </w:r>
      <w:r w:rsidR="00332D90" w:rsidRPr="00D33DD2">
        <w:rPr>
          <w:sz w:val="32"/>
          <w:szCs w:val="32"/>
          <w:lang w:val="fr-FR"/>
        </w:rPr>
        <w:t xml:space="preserve">, </w:t>
      </w:r>
      <w:r w:rsidR="007E2DB3" w:rsidRPr="00D33DD2">
        <w:rPr>
          <w:sz w:val="32"/>
          <w:szCs w:val="32"/>
          <w:lang w:val="fr-FR"/>
        </w:rPr>
        <w:t>Transmission, variation et expression du patrimoine génétique</w:t>
      </w:r>
      <w:r w:rsidR="007E2DB3" w:rsidRPr="00D33DD2">
        <w:rPr>
          <w:lang w:val="fr-FR"/>
        </w:rPr>
        <w:t xml:space="preserve"> </w:t>
      </w:r>
    </w:p>
    <w:bookmarkEnd w:id="0"/>
    <w:p w:rsidR="00332D90" w:rsidRPr="00D33DD2" w:rsidRDefault="00332D90" w:rsidP="00332D90">
      <w:pPr>
        <w:rPr>
          <w:sz w:val="16"/>
          <w:szCs w:val="16"/>
          <w:lang w:val="fr-FR"/>
        </w:rPr>
      </w:pPr>
    </w:p>
    <w:p w:rsidR="008E4D1B" w:rsidRPr="00D33DD2" w:rsidRDefault="00D1251D" w:rsidP="008E4D1B">
      <w:pPr>
        <w:pBdr>
          <w:top w:val="thinThickSmallGap" w:sz="12" w:space="1" w:color="auto"/>
          <w:left w:val="thinThickSmallGap" w:sz="12" w:space="4" w:color="auto"/>
          <w:bottom w:val="thickThinSmallGap" w:sz="12" w:space="1" w:color="auto"/>
          <w:right w:val="thickThinSmallGap" w:sz="12" w:space="4" w:color="auto"/>
        </w:pBdr>
        <w:tabs>
          <w:tab w:val="left" w:pos="1425"/>
          <w:tab w:val="center" w:pos="7699"/>
        </w:tabs>
        <w:jc w:val="center"/>
        <w:rPr>
          <w:b/>
          <w:i w:val="0"/>
          <w:sz w:val="48"/>
          <w:szCs w:val="48"/>
          <w:lang w:val="fr-FR"/>
        </w:rPr>
      </w:pPr>
      <w:r w:rsidRPr="00D33DD2">
        <w:rPr>
          <w:i w:val="0"/>
          <w:sz w:val="48"/>
          <w:szCs w:val="48"/>
          <w:lang w:val="fr-FR"/>
        </w:rPr>
        <w:t xml:space="preserve">Mutations de l’ADN et variabilité génétique </w:t>
      </w:r>
    </w:p>
    <w:p w:rsidR="00D1251D" w:rsidRPr="00D33DD2" w:rsidRDefault="00A8129B" w:rsidP="00A51E50">
      <w:pPr>
        <w:jc w:val="center"/>
        <w:rPr>
          <w:i w:val="0"/>
          <w:sz w:val="40"/>
          <w:szCs w:val="40"/>
          <w:lang w:val="fr-FR"/>
        </w:rPr>
      </w:pPr>
      <w:r w:rsidRPr="00D33DD2">
        <w:rPr>
          <w:i w:val="0"/>
          <w:sz w:val="40"/>
          <w:szCs w:val="40"/>
          <w:lang w:val="fr-FR"/>
        </w:rPr>
        <w:t xml:space="preserve">On </w:t>
      </w:r>
      <w:r w:rsidR="00D1251D" w:rsidRPr="00D33DD2">
        <w:rPr>
          <w:i w:val="0"/>
          <w:sz w:val="40"/>
          <w:szCs w:val="40"/>
          <w:lang w:val="fr-FR"/>
        </w:rPr>
        <w:t>étudie l'action d'un agent mutagène (par exemple les UV) sur la survie des cellules et sur l'apparition de mutants.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10732"/>
      </w:tblGrid>
      <w:tr w:rsidR="00D1251D" w:rsidTr="00A8129B">
        <w:trPr>
          <w:trHeight w:val="2648"/>
        </w:trPr>
        <w:tc>
          <w:tcPr>
            <w:tcW w:w="4806" w:type="dxa"/>
            <w:vMerge w:val="restart"/>
          </w:tcPr>
          <w:p w:rsidR="00D1251D" w:rsidRDefault="00D1251D" w:rsidP="00D1251D">
            <w:pPr>
              <w:rPr>
                <w:sz w:val="40"/>
                <w:szCs w:val="40"/>
              </w:rPr>
            </w:pPr>
            <w:r w:rsidRPr="00D1251D">
              <w:rPr>
                <w:noProof/>
                <w:sz w:val="40"/>
                <w:szCs w:val="40"/>
                <w:lang w:val="fr-FR" w:eastAsia="fr-FR" w:bidi="ar-SA"/>
              </w:rPr>
              <w:drawing>
                <wp:inline distT="0" distB="0" distL="0" distR="0">
                  <wp:extent cx="2895600" cy="3360965"/>
                  <wp:effectExtent l="19050" t="0" r="0" b="0"/>
                  <wp:docPr id="17" name="Image 7" descr="ExpÃ©r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xpÃ©r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36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2" w:type="dxa"/>
          </w:tcPr>
          <w:p w:rsidR="00D1251D" w:rsidRDefault="00D33DD2" w:rsidP="00D1251D">
            <w:pPr>
              <w:jc w:val="right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val="fr-FR" w:eastAsia="fr-FR"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66.95pt;margin-top:14.1pt;width:3in;height:64.9pt;z-index:251658240;mso-position-horizontal-relative:text;mso-position-vertical-relative:text" filled="f" fillcolor="#dbe5f1 [660]" stroked="f">
                  <v:textbox>
                    <w:txbxContent>
                      <w:p w:rsidR="00A8129B" w:rsidRPr="00D33DD2" w:rsidRDefault="00A8129B">
                        <w:pPr>
                          <w:rPr>
                            <w:i w:val="0"/>
                            <w:sz w:val="24"/>
                            <w:szCs w:val="24"/>
                            <w:lang w:val="fr-FR"/>
                          </w:rPr>
                        </w:pPr>
                        <w:r w:rsidRPr="00D33DD2">
                          <w:rPr>
                            <w:i w:val="0"/>
                            <w:sz w:val="24"/>
                            <w:szCs w:val="24"/>
                            <w:lang w:val="fr-FR"/>
                          </w:rPr>
                          <w:t xml:space="preserve">La </w:t>
                        </w:r>
                        <w:proofErr w:type="spellStart"/>
                        <w:r w:rsidRPr="00D33DD2">
                          <w:rPr>
                            <w:i w:val="0"/>
                            <w:sz w:val="24"/>
                            <w:szCs w:val="24"/>
                            <w:lang w:val="fr-FR"/>
                          </w:rPr>
                          <w:t>mutabox</w:t>
                        </w:r>
                        <w:proofErr w:type="spellEnd"/>
                        <w:r w:rsidRPr="00D33DD2">
                          <w:rPr>
                            <w:i w:val="0"/>
                            <w:sz w:val="24"/>
                            <w:szCs w:val="24"/>
                            <w:lang w:val="fr-FR"/>
                          </w:rPr>
                          <w:t xml:space="preserve"> permet de soumettre les levure</w:t>
                        </w:r>
                        <w:r w:rsidR="00D33DD2">
                          <w:rPr>
                            <w:i w:val="0"/>
                            <w:sz w:val="24"/>
                            <w:szCs w:val="24"/>
                            <w:lang w:val="fr-FR"/>
                          </w:rPr>
                          <w:t>s</w:t>
                        </w:r>
                        <w:r w:rsidRPr="00D33DD2">
                          <w:rPr>
                            <w:i w:val="0"/>
                            <w:sz w:val="24"/>
                            <w:szCs w:val="24"/>
                            <w:lang w:val="fr-FR"/>
                          </w:rPr>
                          <w:t xml:space="preserve"> aux rayons UV</w:t>
                        </w:r>
                      </w:p>
                    </w:txbxContent>
                  </v:textbox>
                </v:shape>
              </w:pict>
            </w:r>
            <w:r w:rsidR="00D1251D">
              <w:rPr>
                <w:noProof/>
                <w:sz w:val="40"/>
                <w:szCs w:val="40"/>
                <w:lang w:val="fr-FR" w:eastAsia="fr-FR" w:bidi="ar-SA"/>
              </w:rPr>
              <w:drawing>
                <wp:inline distT="0" distB="0" distL="0" distR="0">
                  <wp:extent cx="1590675" cy="1752600"/>
                  <wp:effectExtent l="19050" t="0" r="9525" b="0"/>
                  <wp:docPr id="1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2439" t="30734" r="1268" b="40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51D" w:rsidTr="00A8129B">
        <w:trPr>
          <w:trHeight w:val="2647"/>
        </w:trPr>
        <w:tc>
          <w:tcPr>
            <w:tcW w:w="4806" w:type="dxa"/>
            <w:vMerge/>
          </w:tcPr>
          <w:p w:rsidR="00D1251D" w:rsidRPr="00D1251D" w:rsidRDefault="00D1251D" w:rsidP="00D1251D">
            <w:pPr>
              <w:rPr>
                <w:sz w:val="40"/>
                <w:szCs w:val="40"/>
              </w:rPr>
            </w:pPr>
          </w:p>
        </w:tc>
        <w:tc>
          <w:tcPr>
            <w:tcW w:w="10732" w:type="dxa"/>
          </w:tcPr>
          <w:p w:rsidR="00D1251D" w:rsidRDefault="00D33DD2" w:rsidP="00D1251D">
            <w:pPr>
              <w:rPr>
                <w:sz w:val="40"/>
                <w:szCs w:val="40"/>
              </w:rPr>
            </w:pPr>
            <w:r>
              <w:rPr>
                <w:noProof/>
                <w:lang w:val="fr-FR" w:eastAsia="fr-FR" w:bidi="ar-SA"/>
              </w:rPr>
              <w:pict>
                <v:shape id="_x0000_s1028" type="#_x0000_t202" style="position:absolute;margin-left:281.7pt;margin-top:112pt;width:210pt;height:43.5pt;z-index:251660288;mso-position-horizontal-relative:text;mso-position-vertical-relative:text" filled="f" fillcolor="#dbe5f1 [660]" stroked="f">
                  <v:textbox>
                    <w:txbxContent>
                      <w:p w:rsidR="00A8129B" w:rsidRPr="00D33DD2" w:rsidRDefault="00A8129B">
                        <w:pPr>
                          <w:rPr>
                            <w:i w:val="0"/>
                            <w:sz w:val="24"/>
                            <w:szCs w:val="24"/>
                            <w:lang w:val="fr-FR"/>
                          </w:rPr>
                        </w:pPr>
                        <w:r w:rsidRPr="00D33DD2">
                          <w:rPr>
                            <w:i w:val="0"/>
                            <w:sz w:val="24"/>
                            <w:szCs w:val="24"/>
                            <w:lang w:val="fr-FR"/>
                          </w:rPr>
                          <w:t>Colonie issue des divisions d’une levure mutée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FR" w:eastAsia="fr-FR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54.95pt;margin-top:129.25pt;width:117pt;height:1.5pt;flip:x y;z-index:251659264;mso-position-horizontal-relative:text;mso-position-vertical-relative:text" o:connectortype="straight">
                  <v:stroke endarrow="block"/>
                </v:shape>
              </w:pict>
            </w:r>
            <w:r w:rsidR="00D1251D">
              <w:rPr>
                <w:noProof/>
                <w:lang w:val="fr-FR" w:eastAsia="fr-FR" w:bidi="ar-SA"/>
              </w:rPr>
              <w:drawing>
                <wp:inline distT="0" distB="0" distL="0" distR="0">
                  <wp:extent cx="3086100" cy="2314575"/>
                  <wp:effectExtent l="19050" t="0" r="0" b="0"/>
                  <wp:docPr id="11" name="Image 10" descr="Culture de levures Ade 2 sur milieu gÃ©losÃ© - Le blog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ulture de levures Ade 2 sur milieu gÃ©losÃ© - Le blog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D1B" w:rsidRPr="00D1251D" w:rsidRDefault="008E4D1B" w:rsidP="00A8129B">
      <w:pPr>
        <w:rPr>
          <w:sz w:val="40"/>
          <w:szCs w:val="40"/>
        </w:rPr>
      </w:pPr>
    </w:p>
    <w:sectPr w:rsidR="008E4D1B" w:rsidRPr="00D1251D" w:rsidSect="002937D6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937D6"/>
    <w:rsid w:val="00154EE7"/>
    <w:rsid w:val="001911DB"/>
    <w:rsid w:val="002937D6"/>
    <w:rsid w:val="00332D90"/>
    <w:rsid w:val="003C2D83"/>
    <w:rsid w:val="003D4A0E"/>
    <w:rsid w:val="005F422C"/>
    <w:rsid w:val="00623AE8"/>
    <w:rsid w:val="0062507D"/>
    <w:rsid w:val="0079281F"/>
    <w:rsid w:val="007E2DB3"/>
    <w:rsid w:val="008E4D1B"/>
    <w:rsid w:val="00A059F4"/>
    <w:rsid w:val="00A51E50"/>
    <w:rsid w:val="00A8129B"/>
    <w:rsid w:val="00AC7BF0"/>
    <w:rsid w:val="00C34106"/>
    <w:rsid w:val="00D1251D"/>
    <w:rsid w:val="00D33DD2"/>
    <w:rsid w:val="00D64CC9"/>
    <w:rsid w:val="00EB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cfc,#e1ffe1"/>
      <o:colormenu v:ext="edit" fillcolor="none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D1B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8E4D1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E4D1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E4D1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E4D1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4D1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4D1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4D1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4D1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4D1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uiPriority w:val="1"/>
    <w:qFormat/>
    <w:rsid w:val="008E4D1B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8E4D1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rsid w:val="008E4D1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Titre">
    <w:name w:val="Title"/>
    <w:basedOn w:val="Normal"/>
    <w:next w:val="Normal"/>
    <w:link w:val="TitreCar"/>
    <w:uiPriority w:val="10"/>
    <w:qFormat/>
    <w:rsid w:val="008E4D1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8E4D1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4D1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4D1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8E4D1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rsid w:val="008E4D1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E4D1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E4D1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8E4D1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8E4D1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itre9Car">
    <w:name w:val="Titre 9 Car"/>
    <w:basedOn w:val="Policepardfaut"/>
    <w:link w:val="Titre9"/>
    <w:uiPriority w:val="9"/>
    <w:semiHidden/>
    <w:rsid w:val="008E4D1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E4D1B"/>
    <w:rPr>
      <w:b/>
      <w:bCs/>
      <w:color w:val="943634" w:themeColor="accent2" w:themeShade="BF"/>
      <w:sz w:val="18"/>
      <w:szCs w:val="18"/>
    </w:rPr>
  </w:style>
  <w:style w:type="character" w:styleId="lev">
    <w:name w:val="Strong"/>
    <w:uiPriority w:val="22"/>
    <w:qFormat/>
    <w:rsid w:val="008E4D1B"/>
    <w:rPr>
      <w:b/>
      <w:bCs/>
      <w:spacing w:val="0"/>
    </w:rPr>
  </w:style>
  <w:style w:type="character" w:styleId="Accentuation">
    <w:name w:val="Emphasis"/>
    <w:uiPriority w:val="20"/>
    <w:qFormat/>
    <w:rsid w:val="008E4D1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Paragraphedeliste">
    <w:name w:val="List Paragraph"/>
    <w:basedOn w:val="Normal"/>
    <w:uiPriority w:val="34"/>
    <w:qFormat/>
    <w:rsid w:val="008E4D1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E4D1B"/>
    <w:rPr>
      <w:i w:val="0"/>
      <w:iCs w:val="0"/>
      <w:color w:val="943634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8E4D1B"/>
    <w:rPr>
      <w:color w:val="943634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4D1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4D1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Emphaseple">
    <w:name w:val="Subtle Emphasis"/>
    <w:uiPriority w:val="19"/>
    <w:qFormat/>
    <w:rsid w:val="008E4D1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Emphaseintense">
    <w:name w:val="Intense Emphasis"/>
    <w:uiPriority w:val="21"/>
    <w:qFormat/>
    <w:rsid w:val="008E4D1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frenceple">
    <w:name w:val="Subtle Reference"/>
    <w:uiPriority w:val="31"/>
    <w:qFormat/>
    <w:rsid w:val="008E4D1B"/>
    <w:rPr>
      <w:i/>
      <w:iCs/>
      <w:smallCaps/>
      <w:color w:val="C0504D" w:themeColor="accent2"/>
      <w:u w:color="C0504D" w:themeColor="accent2"/>
    </w:rPr>
  </w:style>
  <w:style w:type="character" w:styleId="Rfrenceintense">
    <w:name w:val="Intense Reference"/>
    <w:uiPriority w:val="32"/>
    <w:qFormat/>
    <w:rsid w:val="008E4D1B"/>
    <w:rPr>
      <w:b/>
      <w:bCs/>
      <w:i/>
      <w:iCs/>
      <w:smallCaps/>
      <w:color w:val="C0504D" w:themeColor="accent2"/>
      <w:u w:color="C0504D" w:themeColor="accent2"/>
    </w:rPr>
  </w:style>
  <w:style w:type="character" w:styleId="Titredulivre">
    <w:name w:val="Book Title"/>
    <w:uiPriority w:val="33"/>
    <w:qFormat/>
    <w:rsid w:val="008E4D1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E4D1B"/>
    <w:pPr>
      <w:outlineLvl w:val="9"/>
    </w:pPr>
  </w:style>
  <w:style w:type="table" w:styleId="Grilledutableau">
    <w:name w:val="Table Grid"/>
    <w:basedOn w:val="TableauNormal"/>
    <w:uiPriority w:val="59"/>
    <w:rsid w:val="008E4D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4D1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1DA6B-021D-4BED-B390-4BBC9B297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Triboulin</dc:creator>
  <cp:lastModifiedBy>Profs</cp:lastModifiedBy>
  <cp:revision>3</cp:revision>
  <cp:lastPrinted>2019-02-28T14:36:00Z</cp:lastPrinted>
  <dcterms:created xsi:type="dcterms:W3CDTF">2019-02-27T22:17:00Z</dcterms:created>
  <dcterms:modified xsi:type="dcterms:W3CDTF">2019-02-28T14:37:00Z</dcterms:modified>
</cp:coreProperties>
</file>